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E84247" w:rsidP="00D35821">
      <w:pPr>
        <w:pStyle w:val="Title"/>
      </w:pPr>
      <w:r w:rsidRPr="00E84247">
        <w:t>PERSPECTIVES</w:t>
      </w:r>
      <w:r w:rsidR="00DD675C" w:rsidRPr="00DD675C">
        <w:t xml:space="preserve">: </w:t>
      </w:r>
      <w:r w:rsidR="00AA3617" w:rsidRPr="00AA3617">
        <w:t>CREATIVE PROCESS (PR-C</w:t>
      </w:r>
      <w:r w:rsidR="00D35821" w:rsidRPr="00CE72FD">
        <w:t xml:space="preserve">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 xml:space="preserve">One </w:t>
      </w:r>
      <w:r w:rsidR="00AA3617">
        <w:rPr>
          <w:rStyle w:val="SubtleReference"/>
        </w:rPr>
        <w:t>2</w:t>
      </w:r>
      <w:r w:rsidRPr="005E553C">
        <w:rPr>
          <w:rStyle w:val="SubtleReference"/>
        </w:rPr>
        <w:t>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AA3617" w:rsidRPr="00AA3617" w:rsidRDefault="00AA3617" w:rsidP="00AA3617">
      <w:pPr>
        <w:rPr>
          <w:rFonts w:eastAsia="Arial"/>
        </w:rPr>
      </w:pPr>
      <w:r w:rsidRPr="00AA3617">
        <w:rPr>
          <w:rFonts w:eastAsia="Arial"/>
        </w:rPr>
        <w:t xml:space="preserve">Courses that carry the PR-C GE designation teach creative process and techniques in a context of individual or collaborative participation in the arts, including creative writing. For creative writing, students will publish an informal group collection or individual dossier of their successful writings. </w:t>
      </w:r>
    </w:p>
    <w:p w:rsidR="00AA3617" w:rsidRPr="00AA3617" w:rsidRDefault="00AA3617" w:rsidP="00AA3617">
      <w:pPr>
        <w:rPr>
          <w:rFonts w:eastAsia="Arial"/>
        </w:rPr>
      </w:pPr>
      <w:r w:rsidRPr="00AA3617">
        <w:rPr>
          <w:rFonts w:eastAsia="Arial"/>
        </w:rPr>
        <w:t xml:space="preserve">Courses may combine theory and experiment in the creation of a new artwork, or new interpretation(s) of an existing artwork. Creative Process courses include studies in individual or group creativity or improvisation, and/or ensemble rehearsal and performance. </w:t>
      </w:r>
    </w:p>
    <w:p w:rsidR="00E84247" w:rsidRDefault="00AA3617" w:rsidP="00AA3617">
      <w:r w:rsidRPr="00AA3617">
        <w:rPr>
          <w:rFonts w:eastAsia="Arial"/>
        </w:rPr>
        <w:t>Students who elect to satisfy this requirement will take at least two credits of individual or group creative work; however, the requirement may be satisfied within courses of greater than two credits. Where appropriate, sponsoring units may require a sequence of two or three 2-credit courses with the PR-C designation assigned to the final quarter. For sequences culminating in a semi-professional public performance, an audition at which students demonstrate aptitude and a foundation of skills will be required</w:t>
      </w:r>
      <w:r w:rsidR="000A26A4" w:rsidRPr="00AA3617">
        <w:rPr>
          <w:rFonts w:eastAsia="Arial"/>
        </w:rPr>
        <w:t>.</w:t>
      </w:r>
    </w:p>
    <w:p w:rsidR="00D35821" w:rsidRDefault="00D35821" w:rsidP="00E84247">
      <w:pPr>
        <w:pStyle w:val="Heading1"/>
      </w:pP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>onal go</w:t>
      </w:r>
      <w:r>
        <w:rPr>
          <w:spacing w:val="-3"/>
        </w:rPr>
        <w:t>a</w:t>
      </w:r>
      <w:r>
        <w:rPr>
          <w:spacing w:val="1"/>
        </w:rPr>
        <w:t>l</w:t>
      </w:r>
      <w:r>
        <w:t>s</w:t>
      </w:r>
      <w:r>
        <w:rPr>
          <w:spacing w:val="1"/>
        </w:rPr>
        <w:t>/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AA3617" w:rsidRPr="00AA3617" w:rsidRDefault="00AA3617" w:rsidP="00AA3617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AA3617">
        <w:rPr>
          <w:rFonts w:eastAsia="Arial"/>
          <w:sz w:val="22"/>
          <w:szCs w:val="22"/>
        </w:rPr>
        <w:t>Acquire specific techniques and skills to perform and/or create one or more genres of art, including (but not limited to) one or more of the following: music, dance, theater, visual arts, film, digital media, and creative writing</w:t>
      </w:r>
    </w:p>
    <w:p w:rsidR="00D816AB" w:rsidRPr="00D816AB" w:rsidRDefault="00AA3617" w:rsidP="00AA3617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AA3617">
        <w:rPr>
          <w:rFonts w:eastAsia="Arial"/>
          <w:sz w:val="22"/>
          <w:szCs w:val="22"/>
        </w:rPr>
        <w:t>Develop alternate ways of learning--a foundation of visual, kinesthetic and/or auditory responses, and a context of relevant theory and interpretation--and through their participation in the creative process, acquire the ability to use faculty and/or peer mentoring and reaction to improve their creative work</w:t>
      </w:r>
    </w:p>
    <w:p w:rsidR="00D35821" w:rsidRPr="003C612C" w:rsidRDefault="00D35821" w:rsidP="00D35821">
      <w:pPr>
        <w:pStyle w:val="Heading1"/>
      </w:pPr>
      <w:r>
        <w:t>QUESTIONS</w:t>
      </w:r>
    </w:p>
    <w:p w:rsidR="00D35821" w:rsidRPr="000A26A4" w:rsidRDefault="00E84247" w:rsidP="00AA3617">
      <w:pPr>
        <w:pStyle w:val="Number"/>
        <w:rPr>
          <w:rFonts w:eastAsia="Arial"/>
        </w:rPr>
      </w:pPr>
      <w:r>
        <w:t xml:space="preserve">Please </w:t>
      </w:r>
      <w:r w:rsidR="00AA3617" w:rsidRPr="00AA3617">
        <w:t>describe the final project; for the performing arts, visual arts, film, and digital media, courses will culminate in a final consisting of an open showing that demonstrates the individual or group has acquired basic technical fluency in one or more of the arts.</w:t>
      </w:r>
      <w:r w:rsidR="00AA3617">
        <w:t xml:space="preserve"> </w:t>
      </w:r>
      <w:bookmarkStart w:id="0" w:name="_GoBack"/>
      <w:bookmarkEnd w:id="0"/>
      <w:r w:rsidR="000A26A4" w:rsidRPr="000A26A4">
        <w:t>Please do not refer reviewers to the syllabus</w:t>
      </w:r>
      <w:r w:rsidR="00D35821">
        <w:t>.</w:t>
      </w:r>
    </w:p>
    <w:p w:rsidR="000A26A4" w:rsidRPr="000A26A4" w:rsidRDefault="000A26A4" w:rsidP="000A26A4">
      <w:pPr>
        <w:pStyle w:val="Bluebox"/>
      </w:pPr>
    </w:p>
    <w:p w:rsidR="00D35821" w:rsidRDefault="004C57D7" w:rsidP="000A26A4">
      <w:pPr>
        <w:pStyle w:val="Number"/>
      </w:pPr>
      <w:r w:rsidRPr="002D2293">
        <w:t xml:space="preserve">Please </w:t>
      </w:r>
      <w:r w:rsidR="000A26A4" w:rsidRPr="000A26A4">
        <w:t xml:space="preserve">describe how the student’s satisfaction of the educational objective for this GE requirement </w:t>
      </w:r>
      <w:r w:rsidR="00D816AB">
        <w:t xml:space="preserve">will be </w:t>
      </w:r>
      <w:r w:rsidRPr="002D2293">
        <w:t>assessed</w:t>
      </w:r>
      <w:r w:rsidR="00D35821"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82" w:rsidRDefault="00954C82" w:rsidP="00D35821">
      <w:pPr>
        <w:spacing w:after="0" w:line="240" w:lineRule="auto"/>
      </w:pPr>
      <w:r>
        <w:separator/>
      </w:r>
    </w:p>
  </w:endnote>
  <w:endnote w:type="continuationSeparator" w:id="0">
    <w:p w:rsidR="00954C82" w:rsidRDefault="00954C82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AA3617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AA3617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82" w:rsidRDefault="00954C82" w:rsidP="00D35821">
      <w:pPr>
        <w:spacing w:after="0" w:line="240" w:lineRule="auto"/>
      </w:pPr>
      <w:r>
        <w:separator/>
      </w:r>
    </w:p>
  </w:footnote>
  <w:footnote w:type="continuationSeparator" w:id="0">
    <w:p w:rsidR="00954C82" w:rsidRDefault="00954C82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EB48C1A2"/>
    <w:lvl w:ilvl="0" w:tplc="086468C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1A"/>
    <w:multiLevelType w:val="hybridMultilevel"/>
    <w:tmpl w:val="A7C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B3027"/>
    <w:multiLevelType w:val="hybridMultilevel"/>
    <w:tmpl w:val="18D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3FE"/>
    <w:multiLevelType w:val="hybridMultilevel"/>
    <w:tmpl w:val="D82CB944"/>
    <w:lvl w:ilvl="0" w:tplc="1C345D00">
      <w:start w:val="1"/>
      <w:numFmt w:val="upperLetter"/>
      <w:pStyle w:val="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C3AC4"/>
    <w:multiLevelType w:val="hybridMultilevel"/>
    <w:tmpl w:val="7EF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12E7C"/>
    <w:rsid w:val="000A26A4"/>
    <w:rsid w:val="001B0541"/>
    <w:rsid w:val="00304A13"/>
    <w:rsid w:val="003759DB"/>
    <w:rsid w:val="004B4E1D"/>
    <w:rsid w:val="004C57D7"/>
    <w:rsid w:val="005935AC"/>
    <w:rsid w:val="00704C0C"/>
    <w:rsid w:val="00751965"/>
    <w:rsid w:val="007F4357"/>
    <w:rsid w:val="00932072"/>
    <w:rsid w:val="00954C82"/>
    <w:rsid w:val="00A97A23"/>
    <w:rsid w:val="00AA3617"/>
    <w:rsid w:val="00B85FE1"/>
    <w:rsid w:val="00BF69D7"/>
    <w:rsid w:val="00D35821"/>
    <w:rsid w:val="00D816AB"/>
    <w:rsid w:val="00DD675C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328B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  <w:style w:type="paragraph" w:customStyle="1" w:styleId="Alpha">
    <w:name w:val="Alpha"/>
    <w:qFormat/>
    <w:rsid w:val="003759DB"/>
    <w:pPr>
      <w:numPr>
        <w:numId w:val="6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3"/>
    <w:rsid w:val="00766D23"/>
    <w:rsid w:val="008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D23"/>
    <w:rPr>
      <w:color w:val="808080"/>
    </w:rPr>
  </w:style>
  <w:style w:type="paragraph" w:customStyle="1" w:styleId="A198F020370F484BAF4CF42C5A76D991">
    <w:name w:val="A198F020370F484BAF4CF42C5A76D991"/>
    <w:rsid w:val="00766D23"/>
  </w:style>
  <w:style w:type="paragraph" w:customStyle="1" w:styleId="92FE1F3F9D354EA0B5114613DF316645">
    <w:name w:val="92FE1F3F9D354EA0B5114613DF316645"/>
    <w:rsid w:val="00766D23"/>
  </w:style>
  <w:style w:type="paragraph" w:customStyle="1" w:styleId="31BC81A1D71C4E96B436339853E88497">
    <w:name w:val="31BC81A1D71C4E96B436339853E88497"/>
    <w:rsid w:val="00766D23"/>
  </w:style>
  <w:style w:type="paragraph" w:customStyle="1" w:styleId="842EB2278D964859ACB736A73D4D888F">
    <w:name w:val="842EB2278D964859ACB736A73D4D888F"/>
    <w:rsid w:val="00766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3</cp:revision>
  <dcterms:created xsi:type="dcterms:W3CDTF">2017-09-18T22:59:00Z</dcterms:created>
  <dcterms:modified xsi:type="dcterms:W3CDTF">2017-09-18T23:01:00Z</dcterms:modified>
</cp:coreProperties>
</file>